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Circular to members # 15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30, 2013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Texworld &amp; Apparel Sourcing, Paris exhibitions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above exhibitions are being held at Paris, France during 17-20 February 2014.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Visitors target groups for Texworld: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Garment manufacturers, fabric manufacturers, private label, textile retailers and wholesalers, mail-order, large scale retailing, chain stores, department stores, trading companies, agents, designers, buying offices, sales representatives.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Product Groups for Texworld: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Cotton, Denim, Eco-friendly, Fabrics, Embroidery &amp; Lace, Knitted, fabrics, Fibers, Functional Fabrics, Linen &amp; Hemp, Prints, Shirting, Silk, Silky aspects, Style, Trims &amp; Accessories, Wool, Wool blend.</w:t>
      </w: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For detailed information, please visit their</w:t>
      </w:r>
      <w:r>
        <w:rPr>
          <w:rFonts w:ascii="Bookman Old Style" w:hAnsi="Bookman Old Style"/>
          <w:color w:val="auto"/>
          <w:sz w:val="26"/>
          <w:szCs w:val="26"/>
        </w:rPr>
        <w:t xml:space="preserve"> </w:t>
      </w:r>
      <w:r>
        <w:rPr>
          <w:rFonts w:ascii="Bookman Old Style" w:hAnsi="Bookman Old Style"/>
          <w:color w:val="auto"/>
        </w:rPr>
        <w:t>website:</w:t>
      </w: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  <w:hyperlink r:id="rId5" w:history="1">
        <w:r>
          <w:rPr>
            <w:rStyle w:val="Hyperlink"/>
            <w:rFonts w:ascii="Bookman Old Style" w:hAnsi="Bookman Old Style"/>
            <w:color w:val="auto"/>
          </w:rPr>
          <w:t>http://texworld-fr.messefrankfurt.com/paris/en/visitors/welcome.html</w:t>
        </w:r>
      </w:hyperlink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Product group for Apparel Sourcing:</w:t>
      </w:r>
    </w:p>
    <w:p w:rsidR="001A338F" w:rsidRDefault="001A338F" w:rsidP="001A338F">
      <w:pPr>
        <w:pStyle w:val="western"/>
        <w:spacing w:before="0" w:beforeAutospacing="0" w:after="0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Menswear: sportswear, shirting, tailoring, coats, underwear, swim wear, uniforms, knitting.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Ladies Wear: sportswear, blur/fuzzy, suiting, coats, lingerie, swim wear, uniforms, knitting.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Children Wear: baby 0-18 months, child 2-6 years, teenager 6-14 years, knitting.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Fashion Accessories: bags &amp; leather goods, shoes gloves &amp; scarves, socks hats &amp; caps, ties &amp; bow ties.</w:t>
      </w:r>
      <w:proofErr w:type="gramEnd"/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Fringe program: Conferences, forums, fashion shows on demand.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detailed information, please visit their website:</w:t>
      </w: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  <w:hyperlink r:id="rId6" w:history="1">
        <w:r>
          <w:rPr>
            <w:rStyle w:val="Hyperlink"/>
            <w:rFonts w:ascii="Bookman Old Style" w:hAnsi="Bookman Old Style"/>
            <w:color w:val="auto"/>
          </w:rPr>
          <w:t>http://apparelsourcing-fr.messefrankfurt.com/paris/en/visitors/welcome.html</w:t>
        </w:r>
      </w:hyperlink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For any enquiry, please come in contact with Madeeha, Messe Frankfurt SP, on Tel 35883671-2, Fax: </w:t>
      </w:r>
      <w:proofErr w:type="gramStart"/>
      <w:r>
        <w:rPr>
          <w:rFonts w:ascii="Bookman Old Style" w:hAnsi="Bookman Old Style"/>
          <w:color w:val="auto"/>
        </w:rPr>
        <w:t>35883673,</w:t>
      </w:r>
      <w:proofErr w:type="gramEnd"/>
      <w:r>
        <w:rPr>
          <w:rFonts w:ascii="Bookman Old Style" w:hAnsi="Bookman Old Style"/>
          <w:color w:val="auto"/>
        </w:rPr>
        <w:t xml:space="preserve"> email: </w:t>
      </w:r>
      <w:hyperlink r:id="rId7" w:history="1">
        <w:r>
          <w:rPr>
            <w:rStyle w:val="Hyperlink"/>
            <w:rFonts w:ascii="Bookman Old Style" w:hAnsi="Bookman Old Style"/>
            <w:color w:val="auto"/>
          </w:rPr>
          <w:t>feskhi.textile@super.net.pk</w:t>
        </w:r>
      </w:hyperlink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  <w:color w:val="auto"/>
        </w:rPr>
        <w:t>Intermat Middle East, Abu Dhabi exhibition</w:t>
      </w: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E27E41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The above exhibition is being held at Abu Dhabi during 14-16 January 2014. Intermat Paris is the world’s second biggest exhibition for building and construction machinery and materials, and Intermat Middle East is a </w:t>
      </w:r>
    </w:p>
    <w:p w:rsidR="00E27E41" w:rsidRDefault="00E27E41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E27E41" w:rsidRDefault="00E27E41" w:rsidP="00E27E41">
      <w:pPr>
        <w:pStyle w:val="western"/>
        <w:spacing w:before="0" w:beforeAutospacing="0" w:after="0"/>
        <w:ind w:hanging="14"/>
        <w:jc w:val="righ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Cont…..P/2</w:t>
      </w:r>
    </w:p>
    <w:p w:rsidR="00E27E41" w:rsidRDefault="00E27E41" w:rsidP="00E27E41">
      <w:pPr>
        <w:pStyle w:val="western"/>
        <w:spacing w:before="0" w:beforeAutospacing="0" w:after="0"/>
        <w:ind w:hanging="14"/>
        <w:jc w:val="right"/>
        <w:rPr>
          <w:rFonts w:ascii="Bookman Old Style" w:hAnsi="Bookman Old Style"/>
          <w:color w:val="auto"/>
        </w:rPr>
      </w:pPr>
    </w:p>
    <w:p w:rsidR="00E27E41" w:rsidRDefault="00E27E41" w:rsidP="00E27E41">
      <w:pPr>
        <w:pStyle w:val="western"/>
        <w:spacing w:before="0" w:beforeAutospacing="0" w:after="0"/>
        <w:ind w:hanging="14"/>
        <w:jc w:val="right"/>
        <w:rPr>
          <w:rFonts w:ascii="Bookman Old Style" w:hAnsi="Bookman Old Style"/>
          <w:color w:val="auto"/>
          <w:u w:val="single"/>
        </w:rPr>
      </w:pPr>
      <w:r>
        <w:rPr>
          <w:rFonts w:ascii="Bookman Old Style" w:hAnsi="Bookman Old Style"/>
          <w:color w:val="auto"/>
          <w:u w:val="single"/>
        </w:rPr>
        <w:lastRenderedPageBreak/>
        <w:t>Page 2</w:t>
      </w:r>
    </w:p>
    <w:p w:rsidR="00E27E41" w:rsidRPr="00E27E41" w:rsidRDefault="00E27E41" w:rsidP="00E27E41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  <w:proofErr w:type="gramStart"/>
      <w:r>
        <w:rPr>
          <w:rFonts w:ascii="Bookman Old Style" w:hAnsi="Bookman Old Style"/>
          <w:color w:val="auto"/>
        </w:rPr>
        <w:t>sister</w:t>
      </w:r>
      <w:proofErr w:type="gramEnd"/>
      <w:r>
        <w:rPr>
          <w:rFonts w:ascii="Bookman Old Style" w:hAnsi="Bookman Old Style"/>
          <w:color w:val="auto"/>
        </w:rPr>
        <w:t xml:space="preserve"> concern of the same exhibition and supported by Ministry of Public Works, UAE. Participation in Intermat Middle East will help Pakistani companies in increasing their exports in to GCC market.</w:t>
      </w:r>
    </w:p>
    <w:p w:rsidR="001A338F" w:rsidRDefault="001A338F" w:rsidP="001A338F">
      <w:pPr>
        <w:pStyle w:val="western"/>
        <w:spacing w:before="0" w:beforeAutospacing="0" w:after="0"/>
        <w:ind w:hanging="14"/>
        <w:jc w:val="both"/>
        <w:rPr>
          <w:rFonts w:ascii="Bookman Old Style" w:hAnsi="Bookman Old Style"/>
          <w:color w:val="auto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Products to display: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Products &amp; Services Related to Building &amp; Construction including, Marble, Granite &amp; Stone, Cement, Concrete, Floor Tiles,  Ceramics,  Wooden Floors, Carpets, Pumps &amp; Motors, Industrial Exhaust Fans,  Safety &amp; Industrial Uniforms, Tents &amp; Canvas, Insulation Materials, Cables &amp; Wire, Ducting for Exhaust &amp; Air-conditioning, Pipes &amp; Fittings, PVC Pipes, Metal Pipes, Bathroom Fittings &amp; Fixtures, Wooden Doors, Electrical Fittings &amp; Fixtures, Chemicals for Construction, Refrigeration &amp; Air-conditioning, Paints, Iron &amp; Steel Products, Glass, etc.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information, please contact Mr. Faisal Aftab Khan, Head of Sales, </w:t>
      </w:r>
      <w:proofErr w:type="gramStart"/>
      <w:r>
        <w:rPr>
          <w:rFonts w:ascii="Bookman Old Style" w:hAnsi="Bookman Old Style"/>
        </w:rPr>
        <w:t>EventZone</w:t>
      </w:r>
      <w:proofErr w:type="gramEnd"/>
      <w:r>
        <w:rPr>
          <w:rFonts w:ascii="Bookman Old Style" w:hAnsi="Bookman Old Style"/>
        </w:rPr>
        <w:t xml:space="preserve"> Pakistan, on Tel: 35447767, Cell: 0333-3381221, email: </w:t>
      </w:r>
      <w:hyperlink r:id="rId8" w:history="1">
        <w:r>
          <w:rPr>
            <w:rStyle w:val="Hyperlink"/>
            <w:rFonts w:ascii="Bookman Old Style" w:hAnsi="Bookman Old Style"/>
          </w:rPr>
          <w:t>info@eventzonepk.com</w:t>
        </w:r>
      </w:hyperlink>
      <w:r>
        <w:rPr>
          <w:rFonts w:ascii="Bookman Old Style" w:hAnsi="Bookman Old Style"/>
        </w:rPr>
        <w:t>.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1A338F" w:rsidRDefault="001A338F" w:rsidP="001A338F">
      <w:pPr>
        <w:pStyle w:val="section1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1A338F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1DF"/>
    <w:multiLevelType w:val="hybridMultilevel"/>
    <w:tmpl w:val="5580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C36C6"/>
    <w:rsid w:val="000E28ED"/>
    <w:rsid w:val="000F42F4"/>
    <w:rsid w:val="00114121"/>
    <w:rsid w:val="00134BCF"/>
    <w:rsid w:val="00154F27"/>
    <w:rsid w:val="00171219"/>
    <w:rsid w:val="001A338F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E0A34"/>
    <w:rsid w:val="003F2A94"/>
    <w:rsid w:val="003F74E2"/>
    <w:rsid w:val="00403188"/>
    <w:rsid w:val="00407550"/>
    <w:rsid w:val="00426F2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A701D"/>
    <w:rsid w:val="005B58AF"/>
    <w:rsid w:val="005D484F"/>
    <w:rsid w:val="005D4C3D"/>
    <w:rsid w:val="005D68FC"/>
    <w:rsid w:val="005E2649"/>
    <w:rsid w:val="005F24A3"/>
    <w:rsid w:val="005F521A"/>
    <w:rsid w:val="0062301B"/>
    <w:rsid w:val="00634560"/>
    <w:rsid w:val="00642648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A155B"/>
    <w:rsid w:val="009B0B05"/>
    <w:rsid w:val="009C0730"/>
    <w:rsid w:val="009D396E"/>
    <w:rsid w:val="009E1D41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67A06"/>
    <w:rsid w:val="00B80C66"/>
    <w:rsid w:val="00B94822"/>
    <w:rsid w:val="00BA746B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04358"/>
    <w:rsid w:val="00E164B7"/>
    <w:rsid w:val="00E27E41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A338F"/>
    <w:pPr>
      <w:spacing w:before="100" w:beforeAutospacing="1" w:after="115"/>
    </w:pPr>
    <w:rPr>
      <w:color w:val="000000"/>
    </w:rPr>
  </w:style>
  <w:style w:type="paragraph" w:customStyle="1" w:styleId="section1">
    <w:name w:val="section1"/>
    <w:basedOn w:val="Normal"/>
    <w:uiPriority w:val="99"/>
    <w:rsid w:val="001A3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entzonep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khi.textile@super.net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arelsourcing-fr.messefrankfurt.com/paris/en/visitors/welcome.html" TargetMode="External"/><Relationship Id="rId5" Type="http://schemas.openxmlformats.org/officeDocument/2006/relationships/hyperlink" Target="http://texworld-fr.messefrankfurt.com/paris/en/visitors/welc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17</cp:revision>
  <dcterms:created xsi:type="dcterms:W3CDTF">2013-09-26T08:30:00Z</dcterms:created>
  <dcterms:modified xsi:type="dcterms:W3CDTF">2013-10-30T11:18:00Z</dcterms:modified>
</cp:coreProperties>
</file>