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AC" w:rsidRDefault="00EB7BAC" w:rsidP="00EB7BAC">
      <w:pPr>
        <w:jc w:val="both"/>
        <w:rPr>
          <w:rFonts w:ascii="Bookman Old Style" w:hAnsi="Bookman Old Style"/>
          <w:b/>
        </w:rPr>
      </w:pPr>
      <w:r>
        <w:rPr>
          <w:rFonts w:ascii="Bookman Old Style" w:hAnsi="Bookman Old Style"/>
          <w:b/>
        </w:rPr>
        <w:t>Circular to members # 165</w:t>
      </w:r>
    </w:p>
    <w:p w:rsidR="00EB7BAC" w:rsidRDefault="00EB7BAC" w:rsidP="00EB7BAC">
      <w:pPr>
        <w:jc w:val="both"/>
        <w:rPr>
          <w:rFonts w:ascii="Bookman Old Style" w:hAnsi="Bookman Old Style"/>
        </w:rPr>
      </w:pPr>
      <w:r>
        <w:rPr>
          <w:rFonts w:ascii="Bookman Old Style" w:hAnsi="Bookman Old Style"/>
        </w:rPr>
        <w:t>September 30, 2013</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b/>
        </w:rPr>
        <w:t>Power tariff hike</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rPr>
        <w:t>Please refer our previous communications on the subject matter through our circulars # 159 &amp; 160 of 19</w:t>
      </w:r>
      <w:r>
        <w:rPr>
          <w:rFonts w:ascii="Bookman Old Style" w:hAnsi="Bookman Old Style"/>
          <w:vertAlign w:val="superscript"/>
        </w:rPr>
        <w:t>th</w:t>
      </w:r>
      <w:r>
        <w:rPr>
          <w:rFonts w:ascii="Bookman Old Style" w:hAnsi="Bookman Old Style"/>
        </w:rPr>
        <w:t xml:space="preserve"> and 164 of 26</w:t>
      </w:r>
      <w:r>
        <w:rPr>
          <w:rFonts w:ascii="Bookman Old Style" w:hAnsi="Bookman Old Style"/>
          <w:vertAlign w:val="superscript"/>
        </w:rPr>
        <w:t>th</w:t>
      </w:r>
      <w:r>
        <w:rPr>
          <w:rFonts w:ascii="Bookman Old Style" w:hAnsi="Bookman Old Style"/>
        </w:rPr>
        <w:t xml:space="preserve"> instant.</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rPr>
        <w:t>To develop consensus on the issue and to decide the course of action, 2 emergent meetings were convened on 25</w:t>
      </w:r>
      <w:r>
        <w:rPr>
          <w:rFonts w:ascii="Bookman Old Style" w:hAnsi="Bookman Old Style"/>
          <w:vertAlign w:val="superscript"/>
        </w:rPr>
        <w:t>th</w:t>
      </w:r>
      <w:r>
        <w:rPr>
          <w:rFonts w:ascii="Bookman Old Style" w:hAnsi="Bookman Old Style"/>
        </w:rPr>
        <w:t xml:space="preserve"> &amp; 27</w:t>
      </w:r>
      <w:r>
        <w:rPr>
          <w:rFonts w:ascii="Bookman Old Style" w:hAnsi="Bookman Old Style"/>
          <w:vertAlign w:val="superscript"/>
        </w:rPr>
        <w:t>th</w:t>
      </w:r>
      <w:r>
        <w:rPr>
          <w:rFonts w:ascii="Bookman Old Style" w:hAnsi="Bookman Old Style"/>
        </w:rPr>
        <w:t xml:space="preserve"> instant as well as the matter was also considered in Annual General Meeting held on 28</w:t>
      </w:r>
      <w:r>
        <w:rPr>
          <w:rFonts w:ascii="Bookman Old Style" w:hAnsi="Bookman Old Style"/>
          <w:vertAlign w:val="superscript"/>
        </w:rPr>
        <w:t>th</w:t>
      </w:r>
      <w:r>
        <w:rPr>
          <w:rFonts w:ascii="Bookman Old Style" w:hAnsi="Bookman Old Style"/>
        </w:rPr>
        <w:t xml:space="preserve"> instant.</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rPr>
        <w:t>Keeping the gravity of the situation in view and having no way out, the participants have finally decided unanimously to join hands with other associations in knocking the door of the Court of Law to seek legal remedy by filing petition.</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rPr>
        <w:t>This notion of legal recourse as the sole remedy was in fact decided by other associations. They have also decided to establish a fund to meet with the huge legal expenditure involved and we have to contribute to an extent of 2 million of rupees to the fund. Hence, it was agreed upon by the participants to contribute Rs. 20,000/- each latest by Wednesday, October 2, 2013 positively.</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rPr>
        <w:t>Members are therefore requested to deposit the above amount with Association secretariat in time through a crossed cheque drawn in favour of the Association together with following details:</w:t>
      </w:r>
    </w:p>
    <w:p w:rsidR="00EB7BAC" w:rsidRDefault="00EB7BAC" w:rsidP="00EB7BAC">
      <w:pPr>
        <w:jc w:val="both"/>
        <w:rPr>
          <w:rFonts w:ascii="Bookman Old Style" w:hAnsi="Bookman Old Style"/>
        </w:rPr>
      </w:pPr>
    </w:p>
    <w:p w:rsidR="00EB7BAC" w:rsidRDefault="00EB7BAC" w:rsidP="00EB7BAC">
      <w:pPr>
        <w:pStyle w:val="ListParagraph"/>
        <w:numPr>
          <w:ilvl w:val="0"/>
          <w:numId w:val="32"/>
        </w:numPr>
        <w:tabs>
          <w:tab w:val="left" w:pos="360"/>
        </w:tabs>
        <w:ind w:left="360"/>
        <w:jc w:val="both"/>
        <w:rPr>
          <w:rFonts w:ascii="Bookman Old Style" w:hAnsi="Bookman Old Style"/>
          <w:sz w:val="24"/>
          <w:szCs w:val="24"/>
        </w:rPr>
      </w:pPr>
      <w:r>
        <w:rPr>
          <w:rFonts w:ascii="Bookman Old Style" w:hAnsi="Bookman Old Style"/>
          <w:sz w:val="24"/>
          <w:szCs w:val="24"/>
        </w:rPr>
        <w:t>Name of the Company</w:t>
      </w:r>
    </w:p>
    <w:p w:rsidR="00EB7BAC" w:rsidRDefault="00EB7BAC" w:rsidP="00EB7BAC">
      <w:pPr>
        <w:pStyle w:val="ListParagraph"/>
        <w:numPr>
          <w:ilvl w:val="0"/>
          <w:numId w:val="32"/>
        </w:numPr>
        <w:tabs>
          <w:tab w:val="left" w:pos="360"/>
        </w:tabs>
        <w:ind w:left="360"/>
        <w:jc w:val="both"/>
        <w:rPr>
          <w:rFonts w:ascii="Bookman Old Style" w:hAnsi="Bookman Old Style"/>
          <w:sz w:val="24"/>
          <w:szCs w:val="24"/>
        </w:rPr>
      </w:pPr>
      <w:r>
        <w:rPr>
          <w:rFonts w:ascii="Bookman Old Style" w:hAnsi="Bookman Old Style"/>
          <w:sz w:val="24"/>
          <w:szCs w:val="24"/>
        </w:rPr>
        <w:t>Address</w:t>
      </w:r>
    </w:p>
    <w:p w:rsidR="00EB7BAC" w:rsidRDefault="00EB7BAC" w:rsidP="00EB7BAC">
      <w:pPr>
        <w:pStyle w:val="ListParagraph"/>
        <w:numPr>
          <w:ilvl w:val="0"/>
          <w:numId w:val="32"/>
        </w:numPr>
        <w:tabs>
          <w:tab w:val="left" w:pos="360"/>
        </w:tabs>
        <w:ind w:left="360"/>
        <w:jc w:val="both"/>
        <w:rPr>
          <w:rFonts w:ascii="Bookman Old Style" w:hAnsi="Bookman Old Style"/>
          <w:sz w:val="24"/>
          <w:szCs w:val="24"/>
        </w:rPr>
      </w:pPr>
      <w:r>
        <w:rPr>
          <w:rFonts w:ascii="Bookman Old Style" w:hAnsi="Bookman Old Style"/>
          <w:sz w:val="24"/>
          <w:szCs w:val="24"/>
        </w:rPr>
        <w:t>KESC consumer number</w:t>
      </w:r>
    </w:p>
    <w:p w:rsidR="00EB7BAC" w:rsidRDefault="00EB7BAC" w:rsidP="00EB7BAC">
      <w:pPr>
        <w:pStyle w:val="ListParagraph"/>
        <w:numPr>
          <w:ilvl w:val="0"/>
          <w:numId w:val="32"/>
        </w:numPr>
        <w:tabs>
          <w:tab w:val="left" w:pos="360"/>
        </w:tabs>
        <w:ind w:left="360"/>
        <w:jc w:val="both"/>
        <w:rPr>
          <w:rFonts w:ascii="Bookman Old Style" w:hAnsi="Bookman Old Style"/>
          <w:sz w:val="24"/>
          <w:szCs w:val="24"/>
        </w:rPr>
      </w:pPr>
      <w:r>
        <w:rPr>
          <w:rFonts w:ascii="Bookman Old Style" w:hAnsi="Bookman Old Style"/>
          <w:sz w:val="24"/>
          <w:szCs w:val="24"/>
        </w:rPr>
        <w:t>KESC account number</w:t>
      </w: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p>
    <w:p w:rsidR="00EB7BAC" w:rsidRDefault="00EB7BAC" w:rsidP="00EB7BAC">
      <w:pPr>
        <w:jc w:val="both"/>
        <w:rPr>
          <w:rFonts w:ascii="Bookman Old Style" w:hAnsi="Bookman Old Style"/>
        </w:rPr>
      </w:pPr>
      <w:r>
        <w:rPr>
          <w:rFonts w:ascii="Bookman Old Style" w:hAnsi="Bookman Old Style"/>
        </w:rPr>
        <w:t>M. Siddique</w:t>
      </w:r>
    </w:p>
    <w:p w:rsidR="00EB7BAC" w:rsidRDefault="00EB7BAC" w:rsidP="00EB7BAC">
      <w:pPr>
        <w:jc w:val="both"/>
        <w:rPr>
          <w:rFonts w:ascii="Bookman Old Style" w:hAnsi="Bookman Old Style"/>
        </w:rPr>
      </w:pPr>
      <w:r>
        <w:rPr>
          <w:rFonts w:ascii="Bookman Old Style" w:hAnsi="Bookman Old Style"/>
        </w:rPr>
        <w:t>Secretary General</w:t>
      </w:r>
    </w:p>
    <w:p w:rsidR="000E28ED" w:rsidRPr="00EB7BAC" w:rsidRDefault="00EB7BAC" w:rsidP="00EB7BAC">
      <w:pPr>
        <w:jc w:val="both"/>
        <w:rPr>
          <w:rFonts w:ascii="Bookman Old Style" w:hAnsi="Bookman Old Style"/>
        </w:rPr>
      </w:pPr>
      <w:r>
        <w:rPr>
          <w:rFonts w:ascii="Bookman Old Style" w:hAnsi="Bookman Old Style"/>
        </w:rPr>
        <w:t>0306-2553947</w:t>
      </w:r>
    </w:p>
    <w:sectPr w:rsidR="000E28ED" w:rsidRPr="00EB7BAC" w:rsidSect="00BE392A">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3655D6"/>
    <w:multiLevelType w:val="hybridMultilevel"/>
    <w:tmpl w:val="39EEC5D8"/>
    <w:lvl w:ilvl="0" w:tplc="0346D6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3C33"/>
    <w:rsid w:val="00030663"/>
    <w:rsid w:val="000430E8"/>
    <w:rsid w:val="00045BFF"/>
    <w:rsid w:val="00076E25"/>
    <w:rsid w:val="00082D69"/>
    <w:rsid w:val="0009135D"/>
    <w:rsid w:val="00096A6C"/>
    <w:rsid w:val="000A4B67"/>
    <w:rsid w:val="000B2259"/>
    <w:rsid w:val="000B55EF"/>
    <w:rsid w:val="000C18F8"/>
    <w:rsid w:val="000E28ED"/>
    <w:rsid w:val="000F42F4"/>
    <w:rsid w:val="00114121"/>
    <w:rsid w:val="00134BCF"/>
    <w:rsid w:val="00154F27"/>
    <w:rsid w:val="00171219"/>
    <w:rsid w:val="001F3DF8"/>
    <w:rsid w:val="001F6385"/>
    <w:rsid w:val="00222CA9"/>
    <w:rsid w:val="00226590"/>
    <w:rsid w:val="00227FE7"/>
    <w:rsid w:val="00232A02"/>
    <w:rsid w:val="0024644D"/>
    <w:rsid w:val="00262568"/>
    <w:rsid w:val="002649CC"/>
    <w:rsid w:val="002702CB"/>
    <w:rsid w:val="002A27E3"/>
    <w:rsid w:val="002A31B4"/>
    <w:rsid w:val="002B4A99"/>
    <w:rsid w:val="002C79AB"/>
    <w:rsid w:val="002D4084"/>
    <w:rsid w:val="00324B68"/>
    <w:rsid w:val="0033277A"/>
    <w:rsid w:val="00341435"/>
    <w:rsid w:val="00356B61"/>
    <w:rsid w:val="00365225"/>
    <w:rsid w:val="00377A7D"/>
    <w:rsid w:val="00382AF8"/>
    <w:rsid w:val="003B50BB"/>
    <w:rsid w:val="003D6555"/>
    <w:rsid w:val="003F2A94"/>
    <w:rsid w:val="003F74E2"/>
    <w:rsid w:val="00403188"/>
    <w:rsid w:val="00407550"/>
    <w:rsid w:val="00457C8D"/>
    <w:rsid w:val="00462817"/>
    <w:rsid w:val="004D701C"/>
    <w:rsid w:val="004E279B"/>
    <w:rsid w:val="004E393C"/>
    <w:rsid w:val="00521296"/>
    <w:rsid w:val="00531909"/>
    <w:rsid w:val="00560250"/>
    <w:rsid w:val="0056101C"/>
    <w:rsid w:val="0057150D"/>
    <w:rsid w:val="005B58AF"/>
    <w:rsid w:val="005D4C3D"/>
    <w:rsid w:val="005E2649"/>
    <w:rsid w:val="005F24A3"/>
    <w:rsid w:val="005F521A"/>
    <w:rsid w:val="0062301B"/>
    <w:rsid w:val="00634560"/>
    <w:rsid w:val="00642B4E"/>
    <w:rsid w:val="00671B99"/>
    <w:rsid w:val="00673283"/>
    <w:rsid w:val="006A7C9A"/>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82882"/>
    <w:rsid w:val="00884013"/>
    <w:rsid w:val="008A28B7"/>
    <w:rsid w:val="008D5C26"/>
    <w:rsid w:val="008E1062"/>
    <w:rsid w:val="008F50D2"/>
    <w:rsid w:val="00901922"/>
    <w:rsid w:val="009242D7"/>
    <w:rsid w:val="009531B1"/>
    <w:rsid w:val="00994C05"/>
    <w:rsid w:val="009A05CC"/>
    <w:rsid w:val="009B0B05"/>
    <w:rsid w:val="009D396E"/>
    <w:rsid w:val="009E3EB6"/>
    <w:rsid w:val="00A27491"/>
    <w:rsid w:val="00A53EFC"/>
    <w:rsid w:val="00A56597"/>
    <w:rsid w:val="00A740E0"/>
    <w:rsid w:val="00A758F2"/>
    <w:rsid w:val="00A90C38"/>
    <w:rsid w:val="00AA07CF"/>
    <w:rsid w:val="00AA3436"/>
    <w:rsid w:val="00AA45FF"/>
    <w:rsid w:val="00AB5781"/>
    <w:rsid w:val="00AC27F9"/>
    <w:rsid w:val="00AC44B9"/>
    <w:rsid w:val="00AE424F"/>
    <w:rsid w:val="00AE5094"/>
    <w:rsid w:val="00AF2F05"/>
    <w:rsid w:val="00AF685B"/>
    <w:rsid w:val="00B454A7"/>
    <w:rsid w:val="00B80C66"/>
    <w:rsid w:val="00B94822"/>
    <w:rsid w:val="00BC3C79"/>
    <w:rsid w:val="00BE392A"/>
    <w:rsid w:val="00BF75B0"/>
    <w:rsid w:val="00C44B91"/>
    <w:rsid w:val="00C72AD5"/>
    <w:rsid w:val="00C87D0A"/>
    <w:rsid w:val="00CB0376"/>
    <w:rsid w:val="00CE5C13"/>
    <w:rsid w:val="00CF777B"/>
    <w:rsid w:val="00D12F14"/>
    <w:rsid w:val="00D2640B"/>
    <w:rsid w:val="00D371E7"/>
    <w:rsid w:val="00D56C1B"/>
    <w:rsid w:val="00DC6E9A"/>
    <w:rsid w:val="00DC75D1"/>
    <w:rsid w:val="00DD1D41"/>
    <w:rsid w:val="00DF2E17"/>
    <w:rsid w:val="00E037FA"/>
    <w:rsid w:val="00E164B7"/>
    <w:rsid w:val="00E445E0"/>
    <w:rsid w:val="00E51986"/>
    <w:rsid w:val="00E560C4"/>
    <w:rsid w:val="00E752EB"/>
    <w:rsid w:val="00E75A85"/>
    <w:rsid w:val="00E76C25"/>
    <w:rsid w:val="00E94D19"/>
    <w:rsid w:val="00EB7BAC"/>
    <w:rsid w:val="00EC784B"/>
    <w:rsid w:val="00EE2145"/>
    <w:rsid w:val="00EE307E"/>
    <w:rsid w:val="00EE4F3D"/>
    <w:rsid w:val="00F03A8D"/>
    <w:rsid w:val="00F26435"/>
    <w:rsid w:val="00F3526F"/>
    <w:rsid w:val="00F5116A"/>
    <w:rsid w:val="00F61D4E"/>
    <w:rsid w:val="00F7257D"/>
    <w:rsid w:val="00FA17A9"/>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89742791">
      <w:bodyDiv w:val="1"/>
      <w:marLeft w:val="0"/>
      <w:marRight w:val="0"/>
      <w:marTop w:val="0"/>
      <w:marBottom w:val="0"/>
      <w:divBdr>
        <w:top w:val="none" w:sz="0" w:space="0" w:color="auto"/>
        <w:left w:val="none" w:sz="0" w:space="0" w:color="auto"/>
        <w:bottom w:val="none" w:sz="0" w:space="0" w:color="auto"/>
        <w:right w:val="none" w:sz="0" w:space="0" w:color="auto"/>
      </w:divBdr>
    </w:div>
    <w:div w:id="9039608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65283638">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37250392">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3</cp:revision>
  <dcterms:created xsi:type="dcterms:W3CDTF">2013-09-26T08:30:00Z</dcterms:created>
  <dcterms:modified xsi:type="dcterms:W3CDTF">2013-09-30T07:11:00Z</dcterms:modified>
</cp:coreProperties>
</file>